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5E" w:rsidRPr="00C15CBE" w:rsidRDefault="0028785E" w:rsidP="0028785E">
      <w:pPr>
        <w:jc w:val="center"/>
        <w:rPr>
          <w:b/>
          <w:sz w:val="72"/>
          <w:szCs w:val="72"/>
        </w:rPr>
      </w:pPr>
      <w:r w:rsidRPr="00C15CBE">
        <w:rPr>
          <w:b/>
          <w:sz w:val="72"/>
          <w:szCs w:val="72"/>
        </w:rPr>
        <w:t>Handleplan om forebyggelse og bekæmpelse af rotter</w:t>
      </w:r>
    </w:p>
    <w:p w:rsidR="0028785E" w:rsidRDefault="0028785E" w:rsidP="0028785E">
      <w:pPr>
        <w:jc w:val="center"/>
        <w:rPr>
          <w:b/>
          <w:sz w:val="72"/>
          <w:szCs w:val="72"/>
        </w:rPr>
      </w:pPr>
      <w:r w:rsidRPr="00C15CBE">
        <w:rPr>
          <w:b/>
          <w:sz w:val="72"/>
          <w:szCs w:val="72"/>
        </w:rPr>
        <w:t>i Læsø Kommune</w:t>
      </w:r>
    </w:p>
    <w:p w:rsidR="00C15CBE" w:rsidRPr="00C15CBE" w:rsidRDefault="00C15CBE" w:rsidP="0028785E">
      <w:pPr>
        <w:jc w:val="center"/>
        <w:rPr>
          <w:b/>
          <w:sz w:val="72"/>
          <w:szCs w:val="72"/>
        </w:rPr>
      </w:pPr>
      <w:r>
        <w:rPr>
          <w:b/>
          <w:sz w:val="72"/>
          <w:szCs w:val="72"/>
        </w:rPr>
        <w:t>2021-2024</w:t>
      </w:r>
    </w:p>
    <w:p w:rsidR="0028785E" w:rsidRPr="009057F9" w:rsidRDefault="0028785E" w:rsidP="0028785E">
      <w:pPr>
        <w:jc w:val="center"/>
        <w:rPr>
          <w:b/>
          <w:sz w:val="18"/>
          <w:szCs w:val="18"/>
        </w:rPr>
      </w:pPr>
    </w:p>
    <w:p w:rsidR="0028785E" w:rsidRPr="0028785E" w:rsidRDefault="009057F9" w:rsidP="0028785E">
      <w:pPr>
        <w:jc w:val="center"/>
        <w:rPr>
          <w:b/>
          <w:sz w:val="96"/>
        </w:rPr>
      </w:pPr>
      <w:r>
        <w:rPr>
          <w:rFonts w:ascii="Arial Narrow" w:hAnsi="Arial Narrow"/>
          <w:noProof/>
          <w:spacing w:val="-3"/>
          <w:lang w:eastAsia="da-DK"/>
        </w:rPr>
        <w:drawing>
          <wp:inline distT="0" distB="0" distL="0" distR="0" wp14:anchorId="109939BF" wp14:editId="614912A7">
            <wp:extent cx="4338769" cy="3848100"/>
            <wp:effectExtent l="0" t="0" r="5080" b="0"/>
            <wp:docPr id="1" name="Billede 1" descr="Kamp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Kampbille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6891" cy="3855303"/>
                    </a:xfrm>
                    <a:prstGeom prst="rect">
                      <a:avLst/>
                    </a:prstGeom>
                    <a:noFill/>
                    <a:ln>
                      <a:noFill/>
                    </a:ln>
                  </pic:spPr>
                </pic:pic>
              </a:graphicData>
            </a:graphic>
          </wp:inline>
        </w:drawing>
      </w:r>
    </w:p>
    <w:p w:rsidR="000A7181" w:rsidRDefault="000A7181">
      <w:pPr>
        <w:rPr>
          <w:b/>
          <w:sz w:val="28"/>
        </w:rPr>
      </w:pPr>
    </w:p>
    <w:p w:rsidR="000A7181" w:rsidRDefault="000A7181">
      <w:pPr>
        <w:rPr>
          <w:b/>
          <w:sz w:val="28"/>
        </w:rPr>
      </w:pPr>
    </w:p>
    <w:p w:rsidR="000A7181" w:rsidRDefault="000A7181">
      <w:pPr>
        <w:rPr>
          <w:b/>
          <w:sz w:val="28"/>
        </w:rPr>
      </w:pPr>
    </w:p>
    <w:p w:rsidR="000A7181" w:rsidRDefault="000A7181">
      <w:pPr>
        <w:rPr>
          <w:b/>
          <w:sz w:val="28"/>
        </w:rPr>
      </w:pPr>
    </w:p>
    <w:p w:rsidR="0028785E" w:rsidRDefault="000A7181">
      <w:pPr>
        <w:rPr>
          <w:b/>
          <w:sz w:val="28"/>
        </w:rPr>
      </w:pPr>
      <w:r>
        <w:rPr>
          <w:b/>
          <w:sz w:val="28"/>
        </w:rPr>
        <w:t>Vedtaget juni 2021</w:t>
      </w:r>
      <w:bookmarkStart w:id="0" w:name="_GoBack"/>
      <w:bookmarkEnd w:id="0"/>
      <w:r w:rsidR="0028785E">
        <w:rPr>
          <w:b/>
          <w:sz w:val="28"/>
        </w:rPr>
        <w:br w:type="page"/>
      </w:r>
    </w:p>
    <w:p w:rsidR="009057F9" w:rsidRPr="008D723A" w:rsidRDefault="009057F9" w:rsidP="009057F9">
      <w:pPr>
        <w:spacing w:line="276" w:lineRule="auto"/>
        <w:rPr>
          <w:b/>
          <w:sz w:val="28"/>
        </w:rPr>
      </w:pPr>
      <w:r w:rsidRPr="008D723A">
        <w:rPr>
          <w:b/>
          <w:sz w:val="28"/>
        </w:rPr>
        <w:lastRenderedPageBreak/>
        <w:t>Baggrund</w:t>
      </w:r>
    </w:p>
    <w:p w:rsidR="009057F9" w:rsidRDefault="009057F9" w:rsidP="009057F9">
      <w:pPr>
        <w:spacing w:line="276" w:lineRule="auto"/>
      </w:pPr>
      <w:r>
        <w:t>Denne handlingsplan er udarbejdet i henhold til Bekendtgørelse om forebyggelse og bekæmpelse af rotter (bekendtgørelse nr. 1686 af 18/12 2018) § 5 og bilag 1.</w:t>
      </w:r>
    </w:p>
    <w:p w:rsidR="009057F9" w:rsidRDefault="009057F9" w:rsidP="009057F9">
      <w:pPr>
        <w:spacing w:line="276" w:lineRule="auto"/>
      </w:pPr>
    </w:p>
    <w:p w:rsidR="009057F9" w:rsidRDefault="003561ED" w:rsidP="009057F9">
      <w:pPr>
        <w:spacing w:line="276" w:lineRule="auto"/>
      </w:pPr>
      <w:r>
        <w:t>Handleplanen gælder i en periode på tre år og skal revideres senest den 1. juni 2024.</w:t>
      </w:r>
    </w:p>
    <w:p w:rsidR="003561ED" w:rsidRDefault="003561ED" w:rsidP="009057F9">
      <w:pPr>
        <w:spacing w:line="276" w:lineRule="auto"/>
      </w:pPr>
    </w:p>
    <w:p w:rsidR="009057F9" w:rsidRPr="008561CC" w:rsidRDefault="009057F9" w:rsidP="009057F9">
      <w:pPr>
        <w:spacing w:line="276" w:lineRule="auto"/>
        <w:rPr>
          <w:b/>
        </w:rPr>
      </w:pPr>
      <w:r w:rsidRPr="008561CC">
        <w:rPr>
          <w:b/>
        </w:rPr>
        <w:t>Overordnede mål for rottebekæmpelse</w:t>
      </w:r>
      <w:r>
        <w:rPr>
          <w:b/>
        </w:rPr>
        <w:t>:</w:t>
      </w:r>
    </w:p>
    <w:p w:rsidR="009057F9" w:rsidRDefault="009057F9" w:rsidP="009057F9">
      <w:pPr>
        <w:spacing w:line="276" w:lineRule="auto"/>
      </w:pPr>
      <w:r>
        <w:t>Målet med handlingsplan for rottebekæmpelse er, at der fortsat ikke kan findes rotter på Læsø.</w:t>
      </w:r>
    </w:p>
    <w:p w:rsidR="009057F9" w:rsidRDefault="009057F9" w:rsidP="009057F9">
      <w:pPr>
        <w:spacing w:line="276" w:lineRule="auto"/>
      </w:pPr>
    </w:p>
    <w:p w:rsidR="009057F9" w:rsidRDefault="009057F9" w:rsidP="009057F9">
      <w:pPr>
        <w:spacing w:line="276" w:lineRule="auto"/>
      </w:pPr>
      <w:r>
        <w:t>1. Ved anmeldelse af mistanke om eksempelvis rotteindtrængen i beboelsesejendomme eller rotteforekomst på fødevarevirksomheder, institutioner eller skolen, skal tilsyn som hovedregel foretages samme dag, dog senest dagen efter modtagelse af anmeldelsen. Modtages anmeldelsen fredag, lørdag, søndag eller helligdag, skal tilsyn foretages første efterfølgende hverdag.</w:t>
      </w:r>
    </w:p>
    <w:p w:rsidR="009057F9" w:rsidRDefault="009057F9" w:rsidP="009057F9">
      <w:pPr>
        <w:spacing w:line="276" w:lineRule="auto"/>
      </w:pPr>
    </w:p>
    <w:p w:rsidR="009057F9" w:rsidRDefault="009057F9" w:rsidP="009057F9">
      <w:pPr>
        <w:spacing w:line="276" w:lineRule="auto"/>
      </w:pPr>
      <w:r>
        <w:t>2. Anden rottebekæmpelse skal ske uden unødigt ophold og senest tre hverdage efter modtagelse af en anmeldelse.</w:t>
      </w:r>
    </w:p>
    <w:p w:rsidR="009057F9" w:rsidRDefault="009057F9" w:rsidP="009057F9">
      <w:pPr>
        <w:spacing w:line="276" w:lineRule="auto"/>
      </w:pPr>
    </w:p>
    <w:p w:rsidR="009057F9" w:rsidRDefault="009057F9" w:rsidP="009057F9">
      <w:pPr>
        <w:spacing w:line="276" w:lineRule="auto"/>
      </w:pPr>
      <w:r>
        <w:t>3. Rottespærrer monteres på afløb fra kommunale skoler, plejehjem, daginstitutioner, hvor det er hensigtsmæssigt og teknisk muligt.</w:t>
      </w:r>
    </w:p>
    <w:p w:rsidR="009057F9" w:rsidRDefault="009057F9" w:rsidP="009057F9">
      <w:pPr>
        <w:spacing w:line="276" w:lineRule="auto"/>
      </w:pPr>
    </w:p>
    <w:p w:rsidR="009057F9" w:rsidRDefault="009057F9" w:rsidP="009057F9">
      <w:pPr>
        <w:spacing w:line="276" w:lineRule="auto"/>
      </w:pPr>
      <w:r>
        <w:t>Så længe der ikke er forekomst af rotter på Læsø, er det ikke er hensigtsmæssigt at opsætte rottespærrer i øens kloakledninger, og der stilles derfor ikke krav om rottespærrer.</w:t>
      </w:r>
    </w:p>
    <w:p w:rsidR="009057F9" w:rsidRDefault="009057F9" w:rsidP="009057F9">
      <w:pPr>
        <w:spacing w:line="276" w:lineRule="auto"/>
      </w:pPr>
    </w:p>
    <w:p w:rsidR="009057F9" w:rsidRDefault="009057F9" w:rsidP="009057F9">
      <w:pPr>
        <w:spacing w:line="276" w:lineRule="auto"/>
        <w:rPr>
          <w:b/>
        </w:rPr>
      </w:pPr>
      <w:r w:rsidRPr="008561CC">
        <w:rPr>
          <w:b/>
        </w:rPr>
        <w:t>Tildelte ressourcer til rottebekæmpelsen</w:t>
      </w:r>
      <w:r>
        <w:rPr>
          <w:b/>
        </w:rPr>
        <w:t>:</w:t>
      </w:r>
    </w:p>
    <w:p w:rsidR="009057F9" w:rsidRDefault="009057F9" w:rsidP="009057F9">
      <w:pPr>
        <w:spacing w:line="276" w:lineRule="auto"/>
      </w:pPr>
      <w:r>
        <w:t>Der er afsat ressourcer til rottebekæmpelse i Læsø Kommune, som dækker den årlige forebyggende indsats mod rotter. Beløbet skal dække udgifter til rottefænger og giftmidler.</w:t>
      </w:r>
    </w:p>
    <w:p w:rsidR="009057F9" w:rsidRDefault="009057F9" w:rsidP="009057F9">
      <w:pPr>
        <w:spacing w:line="276" w:lineRule="auto"/>
      </w:pPr>
    </w:p>
    <w:p w:rsidR="009057F9" w:rsidRDefault="009057F9" w:rsidP="009057F9">
      <w:pPr>
        <w:spacing w:line="276" w:lineRule="auto"/>
        <w:rPr>
          <w:b/>
        </w:rPr>
      </w:pPr>
      <w:r w:rsidRPr="008561CC">
        <w:rPr>
          <w:b/>
        </w:rPr>
        <w:t>Succeskriterier for rottebekæmpelsen</w:t>
      </w:r>
      <w:r>
        <w:rPr>
          <w:b/>
        </w:rPr>
        <w:t>:</w:t>
      </w:r>
    </w:p>
    <w:p w:rsidR="009057F9" w:rsidRDefault="009057F9" w:rsidP="009057F9">
      <w:pPr>
        <w:spacing w:line="276" w:lineRule="auto"/>
      </w:pPr>
      <w:r>
        <w:t>Succeskriterium for rottebekæmpelse</w:t>
      </w:r>
      <w:r w:rsidR="003561ED">
        <w:t xml:space="preserve">n </w:t>
      </w:r>
      <w:r>
        <w:t>er, at der fortsat ikke findes rotter på Læsø.</w:t>
      </w:r>
    </w:p>
    <w:p w:rsidR="005B324B" w:rsidRDefault="005B324B" w:rsidP="009057F9">
      <w:pPr>
        <w:spacing w:line="276" w:lineRule="auto"/>
      </w:pPr>
    </w:p>
    <w:p w:rsidR="00B1098D" w:rsidRDefault="00B1098D">
      <w:pPr>
        <w:rPr>
          <w:b/>
        </w:rPr>
      </w:pPr>
      <w:r>
        <w:rPr>
          <w:b/>
        </w:rPr>
        <w:br w:type="page"/>
      </w:r>
    </w:p>
    <w:p w:rsidR="005B324B" w:rsidRPr="005B324B" w:rsidRDefault="005B324B" w:rsidP="009057F9">
      <w:pPr>
        <w:spacing w:line="276" w:lineRule="auto"/>
        <w:rPr>
          <w:b/>
        </w:rPr>
      </w:pPr>
      <w:r w:rsidRPr="005B324B">
        <w:rPr>
          <w:b/>
        </w:rPr>
        <w:lastRenderedPageBreak/>
        <w:t>Sikringsordninger</w:t>
      </w:r>
    </w:p>
    <w:p w:rsidR="005B324B" w:rsidRDefault="005B324B" w:rsidP="009057F9">
      <w:pPr>
        <w:spacing w:line="276" w:lineRule="auto"/>
      </w:pPr>
      <w:r>
        <w:t>Steder med sikringsordninger udskiftes til anordninger beregnet til mus. I tilfælde af forekomst af rotter, opsættes sikringsordninger til rotter også.</w:t>
      </w:r>
    </w:p>
    <w:p w:rsidR="00F84DF8" w:rsidRDefault="00F84DF8" w:rsidP="009057F9">
      <w:pPr>
        <w:spacing w:line="276" w:lineRule="auto"/>
      </w:pPr>
      <w:r>
        <w:t>Sikringsordningerne opsættes ved fødevarevirksomheder.</w:t>
      </w:r>
    </w:p>
    <w:p w:rsidR="00F84DF8" w:rsidRDefault="00F84DF8" w:rsidP="009057F9">
      <w:pPr>
        <w:spacing w:line="276" w:lineRule="auto"/>
      </w:pPr>
      <w:r>
        <w:t>Nyetablerede fødevarevirksomheder skal selv kontakte Læsø Kommune med henblik på opsætning af sikringsordningerne.</w:t>
      </w:r>
    </w:p>
    <w:p w:rsidR="00572D2C" w:rsidRDefault="00572D2C" w:rsidP="009057F9">
      <w:pPr>
        <w:spacing w:line="276" w:lineRule="auto"/>
      </w:pPr>
    </w:p>
    <w:p w:rsidR="00572D2C" w:rsidRDefault="00572D2C" w:rsidP="009057F9">
      <w:pPr>
        <w:spacing w:line="276" w:lineRule="auto"/>
      </w:pPr>
      <w:r>
        <w:rPr>
          <w:b/>
        </w:rPr>
        <w:t>Privat rottebekæmpelse</w:t>
      </w:r>
    </w:p>
    <w:p w:rsidR="00572D2C" w:rsidRDefault="00572D2C" w:rsidP="009057F9">
      <w:pPr>
        <w:spacing w:line="276" w:lineRule="auto"/>
      </w:pPr>
      <w:r>
        <w:t>Læsø Kommune tillader ikke privat rottebekæmpelse, så længe der ikke er forekomst af rotter på Læsø.</w:t>
      </w:r>
    </w:p>
    <w:p w:rsidR="00444D16" w:rsidRPr="00572D2C" w:rsidRDefault="00444D16" w:rsidP="009057F9">
      <w:pPr>
        <w:spacing w:line="276" w:lineRule="auto"/>
      </w:pPr>
      <w:r>
        <w:t>Private rottebekæmpere skal ved ønske om at udføre rottebekæmpelse på Læsø rette henvendelse til Læsø Kommune.</w:t>
      </w:r>
    </w:p>
    <w:p w:rsidR="009057F9" w:rsidRDefault="009057F9" w:rsidP="009057F9">
      <w:pPr>
        <w:spacing w:line="276" w:lineRule="auto"/>
      </w:pPr>
    </w:p>
    <w:p w:rsidR="009057F9" w:rsidRPr="00FF7688" w:rsidRDefault="009057F9" w:rsidP="009057F9">
      <w:pPr>
        <w:spacing w:line="276" w:lineRule="auto"/>
        <w:rPr>
          <w:b/>
        </w:rPr>
      </w:pPr>
      <w:r w:rsidRPr="00FF7688">
        <w:rPr>
          <w:b/>
        </w:rPr>
        <w:t>Tiltag til opnåelse af mål:</w:t>
      </w:r>
    </w:p>
    <w:p w:rsidR="009057F9" w:rsidRDefault="009057F9" w:rsidP="009057F9">
      <w:pPr>
        <w:spacing w:line="276" w:lineRule="auto"/>
      </w:pPr>
      <w:r>
        <w:t>Såfremt der sker en anmeldelse af rotter, vil der omgående blive handlet i henhold til de overordnede mål.</w:t>
      </w:r>
    </w:p>
    <w:p w:rsidR="009057F9" w:rsidRDefault="009057F9" w:rsidP="009057F9">
      <w:pPr>
        <w:spacing w:line="276" w:lineRule="auto"/>
      </w:pPr>
    </w:p>
    <w:p w:rsidR="00572D2C" w:rsidRPr="00572D2C" w:rsidRDefault="00572D2C" w:rsidP="009057F9">
      <w:pPr>
        <w:spacing w:line="276" w:lineRule="auto"/>
        <w:rPr>
          <w:b/>
        </w:rPr>
      </w:pPr>
      <w:r>
        <w:rPr>
          <w:b/>
        </w:rPr>
        <w:t>Tilsynspligtige ejendomme</w:t>
      </w:r>
    </w:p>
    <w:p w:rsidR="00572D2C" w:rsidRPr="00572D2C" w:rsidRDefault="009057F9" w:rsidP="009057F9">
      <w:pPr>
        <w:spacing w:line="276" w:lineRule="auto"/>
      </w:pPr>
      <w:r w:rsidRPr="00572D2C">
        <w:t xml:space="preserve">En gang årligt besøger rottefængeren havne, genbrugsplads, </w:t>
      </w:r>
      <w:r w:rsidR="00572D2C" w:rsidRPr="00572D2C">
        <w:t xml:space="preserve">deponeringsanlæg, </w:t>
      </w:r>
      <w:r w:rsidRPr="00572D2C">
        <w:t xml:space="preserve">landbrug og erhvervsvirksomheder for at bekæmpe rotter og føre tilsyn med, at der tages hensigtsmæssige foranstaltninger for at undgå rotter. </w:t>
      </w:r>
    </w:p>
    <w:p w:rsidR="00572D2C" w:rsidRPr="00572D2C" w:rsidRDefault="00572D2C" w:rsidP="009057F9">
      <w:pPr>
        <w:spacing w:line="276" w:lineRule="auto"/>
      </w:pPr>
    </w:p>
    <w:p w:rsidR="009057F9" w:rsidRDefault="009057F9" w:rsidP="009057F9">
      <w:pPr>
        <w:spacing w:line="276" w:lineRule="auto"/>
      </w:pPr>
      <w:r w:rsidRPr="00572D2C">
        <w:t xml:space="preserve">Ejere af ejendomme i byzone og sommerhusområder skal selv henvende sig til rottefængeren </w:t>
      </w:r>
      <w:r w:rsidR="00572D2C">
        <w:t>for at få foretaget et eftersyn, da disse ikke er tilsynspligtige.</w:t>
      </w:r>
    </w:p>
    <w:p w:rsidR="009057F9" w:rsidRDefault="009057F9">
      <w:pPr>
        <w:rPr>
          <w:b/>
          <w:sz w:val="28"/>
        </w:rPr>
      </w:pPr>
    </w:p>
    <w:sectPr w:rsidR="009057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5E"/>
    <w:rsid w:val="00002DD4"/>
    <w:rsid w:val="000036AC"/>
    <w:rsid w:val="000043D8"/>
    <w:rsid w:val="0000484C"/>
    <w:rsid w:val="000063A6"/>
    <w:rsid w:val="00021500"/>
    <w:rsid w:val="000216A7"/>
    <w:rsid w:val="00021936"/>
    <w:rsid w:val="0002263C"/>
    <w:rsid w:val="000227F4"/>
    <w:rsid w:val="00025F3A"/>
    <w:rsid w:val="00026829"/>
    <w:rsid w:val="0005326A"/>
    <w:rsid w:val="00053C15"/>
    <w:rsid w:val="00053E6B"/>
    <w:rsid w:val="00061ADE"/>
    <w:rsid w:val="000652C0"/>
    <w:rsid w:val="00065ACA"/>
    <w:rsid w:val="00071B7E"/>
    <w:rsid w:val="00073482"/>
    <w:rsid w:val="00073CBE"/>
    <w:rsid w:val="000811FB"/>
    <w:rsid w:val="00082C14"/>
    <w:rsid w:val="000844F9"/>
    <w:rsid w:val="00092C63"/>
    <w:rsid w:val="00095516"/>
    <w:rsid w:val="000A5A64"/>
    <w:rsid w:val="000A7181"/>
    <w:rsid w:val="000B02A6"/>
    <w:rsid w:val="000B462A"/>
    <w:rsid w:val="000D21C5"/>
    <w:rsid w:val="000E0A83"/>
    <w:rsid w:val="000E664E"/>
    <w:rsid w:val="000F7361"/>
    <w:rsid w:val="00112B0F"/>
    <w:rsid w:val="0011517C"/>
    <w:rsid w:val="00120A8F"/>
    <w:rsid w:val="00122C67"/>
    <w:rsid w:val="0012554A"/>
    <w:rsid w:val="00135DED"/>
    <w:rsid w:val="00141646"/>
    <w:rsid w:val="0014387E"/>
    <w:rsid w:val="0015725B"/>
    <w:rsid w:val="00163028"/>
    <w:rsid w:val="00164079"/>
    <w:rsid w:val="001823C0"/>
    <w:rsid w:val="00183E8E"/>
    <w:rsid w:val="00186CA9"/>
    <w:rsid w:val="001922E0"/>
    <w:rsid w:val="00196A81"/>
    <w:rsid w:val="001A3A0F"/>
    <w:rsid w:val="001A3FAD"/>
    <w:rsid w:val="001B6665"/>
    <w:rsid w:val="001C02A4"/>
    <w:rsid w:val="001C18A1"/>
    <w:rsid w:val="001C592A"/>
    <w:rsid w:val="001D2748"/>
    <w:rsid w:val="001D722F"/>
    <w:rsid w:val="001F4B98"/>
    <w:rsid w:val="001F7077"/>
    <w:rsid w:val="002003F6"/>
    <w:rsid w:val="00200C38"/>
    <w:rsid w:val="00200C4B"/>
    <w:rsid w:val="00215825"/>
    <w:rsid w:val="00217BC4"/>
    <w:rsid w:val="00220C4F"/>
    <w:rsid w:val="00223B60"/>
    <w:rsid w:val="00233DED"/>
    <w:rsid w:val="002349EC"/>
    <w:rsid w:val="002368AA"/>
    <w:rsid w:val="00240461"/>
    <w:rsid w:val="002406B2"/>
    <w:rsid w:val="002411F3"/>
    <w:rsid w:val="00256A02"/>
    <w:rsid w:val="00265C7A"/>
    <w:rsid w:val="00266737"/>
    <w:rsid w:val="00266FA9"/>
    <w:rsid w:val="00272777"/>
    <w:rsid w:val="002729ED"/>
    <w:rsid w:val="002770D2"/>
    <w:rsid w:val="00277F27"/>
    <w:rsid w:val="0028180E"/>
    <w:rsid w:val="0028785E"/>
    <w:rsid w:val="002944D0"/>
    <w:rsid w:val="002A3345"/>
    <w:rsid w:val="002A4D7B"/>
    <w:rsid w:val="002A5101"/>
    <w:rsid w:val="002A5AF0"/>
    <w:rsid w:val="002B37C7"/>
    <w:rsid w:val="002B5B67"/>
    <w:rsid w:val="002B7416"/>
    <w:rsid w:val="002E1772"/>
    <w:rsid w:val="002E7FD8"/>
    <w:rsid w:val="002F0471"/>
    <w:rsid w:val="002F734B"/>
    <w:rsid w:val="003050C2"/>
    <w:rsid w:val="00313965"/>
    <w:rsid w:val="00332E02"/>
    <w:rsid w:val="003359D9"/>
    <w:rsid w:val="00341ADA"/>
    <w:rsid w:val="003531B6"/>
    <w:rsid w:val="00354761"/>
    <w:rsid w:val="003561ED"/>
    <w:rsid w:val="0035726D"/>
    <w:rsid w:val="00361BB4"/>
    <w:rsid w:val="00362065"/>
    <w:rsid w:val="0036548C"/>
    <w:rsid w:val="003831DF"/>
    <w:rsid w:val="00385555"/>
    <w:rsid w:val="00385CC7"/>
    <w:rsid w:val="003A3163"/>
    <w:rsid w:val="003A73DD"/>
    <w:rsid w:val="003B0BDC"/>
    <w:rsid w:val="003B2E37"/>
    <w:rsid w:val="003C1FCE"/>
    <w:rsid w:val="003C20CE"/>
    <w:rsid w:val="003C2432"/>
    <w:rsid w:val="003C2D38"/>
    <w:rsid w:val="003C3022"/>
    <w:rsid w:val="003D2FEC"/>
    <w:rsid w:val="003D718A"/>
    <w:rsid w:val="003D7B42"/>
    <w:rsid w:val="003E014C"/>
    <w:rsid w:val="003E1349"/>
    <w:rsid w:val="003E4122"/>
    <w:rsid w:val="003F4107"/>
    <w:rsid w:val="003F7905"/>
    <w:rsid w:val="00412556"/>
    <w:rsid w:val="00427696"/>
    <w:rsid w:val="00427BC0"/>
    <w:rsid w:val="00427ED3"/>
    <w:rsid w:val="0044113B"/>
    <w:rsid w:val="00444D16"/>
    <w:rsid w:val="004460ED"/>
    <w:rsid w:val="004547A2"/>
    <w:rsid w:val="004609E5"/>
    <w:rsid w:val="004651DD"/>
    <w:rsid w:val="00473C0E"/>
    <w:rsid w:val="00476CE0"/>
    <w:rsid w:val="00477D10"/>
    <w:rsid w:val="00483742"/>
    <w:rsid w:val="00484DED"/>
    <w:rsid w:val="00485C20"/>
    <w:rsid w:val="0049196C"/>
    <w:rsid w:val="00494411"/>
    <w:rsid w:val="004A51C8"/>
    <w:rsid w:val="004A5867"/>
    <w:rsid w:val="004A6744"/>
    <w:rsid w:val="004C0B40"/>
    <w:rsid w:val="004D4E4B"/>
    <w:rsid w:val="004D5311"/>
    <w:rsid w:val="004E726E"/>
    <w:rsid w:val="004F11B9"/>
    <w:rsid w:val="004F13B6"/>
    <w:rsid w:val="004F509C"/>
    <w:rsid w:val="004F71CC"/>
    <w:rsid w:val="005000DE"/>
    <w:rsid w:val="00506335"/>
    <w:rsid w:val="00507C10"/>
    <w:rsid w:val="005145BD"/>
    <w:rsid w:val="00515AC2"/>
    <w:rsid w:val="00520778"/>
    <w:rsid w:val="00526ACC"/>
    <w:rsid w:val="00532654"/>
    <w:rsid w:val="005327AF"/>
    <w:rsid w:val="00532CB8"/>
    <w:rsid w:val="00534E27"/>
    <w:rsid w:val="005442DC"/>
    <w:rsid w:val="00551064"/>
    <w:rsid w:val="00560EB3"/>
    <w:rsid w:val="00572D2C"/>
    <w:rsid w:val="00577D42"/>
    <w:rsid w:val="00582F5D"/>
    <w:rsid w:val="0058348F"/>
    <w:rsid w:val="0058439D"/>
    <w:rsid w:val="005878DA"/>
    <w:rsid w:val="00594B65"/>
    <w:rsid w:val="005950E9"/>
    <w:rsid w:val="005A1B97"/>
    <w:rsid w:val="005A5980"/>
    <w:rsid w:val="005B324B"/>
    <w:rsid w:val="005B443F"/>
    <w:rsid w:val="005D0D15"/>
    <w:rsid w:val="005D4F0C"/>
    <w:rsid w:val="005E1DBE"/>
    <w:rsid w:val="005E4F93"/>
    <w:rsid w:val="005E6FB7"/>
    <w:rsid w:val="005F1ABF"/>
    <w:rsid w:val="005F4313"/>
    <w:rsid w:val="005F68BE"/>
    <w:rsid w:val="00600ED6"/>
    <w:rsid w:val="00601226"/>
    <w:rsid w:val="006031CF"/>
    <w:rsid w:val="006042F7"/>
    <w:rsid w:val="0061110B"/>
    <w:rsid w:val="00621A7B"/>
    <w:rsid w:val="00623275"/>
    <w:rsid w:val="006243C4"/>
    <w:rsid w:val="00625DA3"/>
    <w:rsid w:val="006312C6"/>
    <w:rsid w:val="006351A9"/>
    <w:rsid w:val="00646585"/>
    <w:rsid w:val="00647E47"/>
    <w:rsid w:val="006607E7"/>
    <w:rsid w:val="00666FC3"/>
    <w:rsid w:val="00673D3A"/>
    <w:rsid w:val="00680E83"/>
    <w:rsid w:val="00684C10"/>
    <w:rsid w:val="00694142"/>
    <w:rsid w:val="006A43D2"/>
    <w:rsid w:val="006B00BF"/>
    <w:rsid w:val="006B7231"/>
    <w:rsid w:val="006C0DA5"/>
    <w:rsid w:val="006C4144"/>
    <w:rsid w:val="006C450A"/>
    <w:rsid w:val="006D1CC0"/>
    <w:rsid w:val="006D2F27"/>
    <w:rsid w:val="006D6721"/>
    <w:rsid w:val="006E27AD"/>
    <w:rsid w:val="006E6811"/>
    <w:rsid w:val="006E73F2"/>
    <w:rsid w:val="006E7AF8"/>
    <w:rsid w:val="006F74B3"/>
    <w:rsid w:val="00700609"/>
    <w:rsid w:val="00702673"/>
    <w:rsid w:val="007069E3"/>
    <w:rsid w:val="007119B7"/>
    <w:rsid w:val="00716243"/>
    <w:rsid w:val="00723D5E"/>
    <w:rsid w:val="007257B5"/>
    <w:rsid w:val="007346C2"/>
    <w:rsid w:val="00736B80"/>
    <w:rsid w:val="00736E5F"/>
    <w:rsid w:val="00737C8A"/>
    <w:rsid w:val="00741C29"/>
    <w:rsid w:val="007451A0"/>
    <w:rsid w:val="00756012"/>
    <w:rsid w:val="00761B92"/>
    <w:rsid w:val="007676DE"/>
    <w:rsid w:val="0079218B"/>
    <w:rsid w:val="00792562"/>
    <w:rsid w:val="00792AB0"/>
    <w:rsid w:val="00794B54"/>
    <w:rsid w:val="0079689D"/>
    <w:rsid w:val="007A235F"/>
    <w:rsid w:val="007A476B"/>
    <w:rsid w:val="007B0C0B"/>
    <w:rsid w:val="007C07AF"/>
    <w:rsid w:val="007C5352"/>
    <w:rsid w:val="007D2CBC"/>
    <w:rsid w:val="007D3724"/>
    <w:rsid w:val="007D78FE"/>
    <w:rsid w:val="007E261A"/>
    <w:rsid w:val="007F103C"/>
    <w:rsid w:val="007F4A24"/>
    <w:rsid w:val="008025B8"/>
    <w:rsid w:val="00813B76"/>
    <w:rsid w:val="008158C3"/>
    <w:rsid w:val="00822C1C"/>
    <w:rsid w:val="00823C35"/>
    <w:rsid w:val="00823E12"/>
    <w:rsid w:val="00834011"/>
    <w:rsid w:val="00840A14"/>
    <w:rsid w:val="008513E9"/>
    <w:rsid w:val="00857745"/>
    <w:rsid w:val="008613A4"/>
    <w:rsid w:val="00863F6F"/>
    <w:rsid w:val="00871E06"/>
    <w:rsid w:val="008743AF"/>
    <w:rsid w:val="00883A41"/>
    <w:rsid w:val="008A0391"/>
    <w:rsid w:val="008A5441"/>
    <w:rsid w:val="008A59D5"/>
    <w:rsid w:val="008C44B7"/>
    <w:rsid w:val="008C52F0"/>
    <w:rsid w:val="008F0364"/>
    <w:rsid w:val="008F2704"/>
    <w:rsid w:val="008F43FA"/>
    <w:rsid w:val="008F4405"/>
    <w:rsid w:val="009057F9"/>
    <w:rsid w:val="0091340C"/>
    <w:rsid w:val="00922D7C"/>
    <w:rsid w:val="0092440E"/>
    <w:rsid w:val="00933A02"/>
    <w:rsid w:val="009344D6"/>
    <w:rsid w:val="00936A5C"/>
    <w:rsid w:val="009417CA"/>
    <w:rsid w:val="00942D9E"/>
    <w:rsid w:val="0094340A"/>
    <w:rsid w:val="00946B15"/>
    <w:rsid w:val="00952A7A"/>
    <w:rsid w:val="009550CE"/>
    <w:rsid w:val="009554B8"/>
    <w:rsid w:val="00955629"/>
    <w:rsid w:val="0097150C"/>
    <w:rsid w:val="009770D2"/>
    <w:rsid w:val="00977925"/>
    <w:rsid w:val="0098083D"/>
    <w:rsid w:val="00985A1B"/>
    <w:rsid w:val="00996ECB"/>
    <w:rsid w:val="009A2143"/>
    <w:rsid w:val="009A76E3"/>
    <w:rsid w:val="009B495E"/>
    <w:rsid w:val="009D060C"/>
    <w:rsid w:val="009D11BD"/>
    <w:rsid w:val="009E0568"/>
    <w:rsid w:val="009E4CF3"/>
    <w:rsid w:val="009F2A4B"/>
    <w:rsid w:val="009F3C77"/>
    <w:rsid w:val="009F5E0D"/>
    <w:rsid w:val="009F77C0"/>
    <w:rsid w:val="00A17785"/>
    <w:rsid w:val="00A313C3"/>
    <w:rsid w:val="00A3224C"/>
    <w:rsid w:val="00A33A1E"/>
    <w:rsid w:val="00A37B83"/>
    <w:rsid w:val="00A45812"/>
    <w:rsid w:val="00A677D3"/>
    <w:rsid w:val="00A7094E"/>
    <w:rsid w:val="00A739C0"/>
    <w:rsid w:val="00A82A8E"/>
    <w:rsid w:val="00A84CED"/>
    <w:rsid w:val="00A90F81"/>
    <w:rsid w:val="00A9385A"/>
    <w:rsid w:val="00A95F4B"/>
    <w:rsid w:val="00AA0272"/>
    <w:rsid w:val="00AA2377"/>
    <w:rsid w:val="00AA641B"/>
    <w:rsid w:val="00AB0724"/>
    <w:rsid w:val="00AD262B"/>
    <w:rsid w:val="00AD3D0D"/>
    <w:rsid w:val="00AD4816"/>
    <w:rsid w:val="00AE590B"/>
    <w:rsid w:val="00AE67D8"/>
    <w:rsid w:val="00AF0A9C"/>
    <w:rsid w:val="00AF160A"/>
    <w:rsid w:val="00B0280C"/>
    <w:rsid w:val="00B02BAC"/>
    <w:rsid w:val="00B1098D"/>
    <w:rsid w:val="00B16511"/>
    <w:rsid w:val="00B170B2"/>
    <w:rsid w:val="00B23410"/>
    <w:rsid w:val="00B2799F"/>
    <w:rsid w:val="00B30C55"/>
    <w:rsid w:val="00B316A0"/>
    <w:rsid w:val="00B3208D"/>
    <w:rsid w:val="00B3245E"/>
    <w:rsid w:val="00B32E35"/>
    <w:rsid w:val="00B3636B"/>
    <w:rsid w:val="00B4003E"/>
    <w:rsid w:val="00B427C3"/>
    <w:rsid w:val="00B42B09"/>
    <w:rsid w:val="00B46BDF"/>
    <w:rsid w:val="00B57477"/>
    <w:rsid w:val="00B707B9"/>
    <w:rsid w:val="00B73E01"/>
    <w:rsid w:val="00B85164"/>
    <w:rsid w:val="00BC0A4E"/>
    <w:rsid w:val="00BC6C02"/>
    <w:rsid w:val="00BD4432"/>
    <w:rsid w:val="00BD69B2"/>
    <w:rsid w:val="00BE5610"/>
    <w:rsid w:val="00BE7A54"/>
    <w:rsid w:val="00BF2899"/>
    <w:rsid w:val="00C0107C"/>
    <w:rsid w:val="00C02C5F"/>
    <w:rsid w:val="00C14B7B"/>
    <w:rsid w:val="00C15CBE"/>
    <w:rsid w:val="00C210E2"/>
    <w:rsid w:val="00C23BEA"/>
    <w:rsid w:val="00C2615C"/>
    <w:rsid w:val="00C320FD"/>
    <w:rsid w:val="00C33939"/>
    <w:rsid w:val="00C41F82"/>
    <w:rsid w:val="00C517E7"/>
    <w:rsid w:val="00C63806"/>
    <w:rsid w:val="00C655BA"/>
    <w:rsid w:val="00C658BB"/>
    <w:rsid w:val="00C84D89"/>
    <w:rsid w:val="00CA1217"/>
    <w:rsid w:val="00CA64B1"/>
    <w:rsid w:val="00CB4602"/>
    <w:rsid w:val="00CC01C7"/>
    <w:rsid w:val="00CC3DB8"/>
    <w:rsid w:val="00CC6BA5"/>
    <w:rsid w:val="00CD0B4F"/>
    <w:rsid w:val="00CD18F6"/>
    <w:rsid w:val="00CD2ECB"/>
    <w:rsid w:val="00CD49E1"/>
    <w:rsid w:val="00CF76A1"/>
    <w:rsid w:val="00D068CA"/>
    <w:rsid w:val="00D07FB8"/>
    <w:rsid w:val="00D120F2"/>
    <w:rsid w:val="00D131C6"/>
    <w:rsid w:val="00D14D63"/>
    <w:rsid w:val="00D15406"/>
    <w:rsid w:val="00D2434B"/>
    <w:rsid w:val="00D25549"/>
    <w:rsid w:val="00D26810"/>
    <w:rsid w:val="00D3616D"/>
    <w:rsid w:val="00D40008"/>
    <w:rsid w:val="00D42D34"/>
    <w:rsid w:val="00D4319B"/>
    <w:rsid w:val="00D44E61"/>
    <w:rsid w:val="00D52F37"/>
    <w:rsid w:val="00D54AF4"/>
    <w:rsid w:val="00D5588E"/>
    <w:rsid w:val="00D625E6"/>
    <w:rsid w:val="00D63C37"/>
    <w:rsid w:val="00D65129"/>
    <w:rsid w:val="00D70F70"/>
    <w:rsid w:val="00D74A9F"/>
    <w:rsid w:val="00D74FA5"/>
    <w:rsid w:val="00D754F9"/>
    <w:rsid w:val="00D76FAE"/>
    <w:rsid w:val="00D8469F"/>
    <w:rsid w:val="00D872F5"/>
    <w:rsid w:val="00D921FC"/>
    <w:rsid w:val="00DA00A9"/>
    <w:rsid w:val="00DA063E"/>
    <w:rsid w:val="00DA2169"/>
    <w:rsid w:val="00DB6C52"/>
    <w:rsid w:val="00DB6E93"/>
    <w:rsid w:val="00DC0377"/>
    <w:rsid w:val="00DD0E79"/>
    <w:rsid w:val="00DD1839"/>
    <w:rsid w:val="00DD2135"/>
    <w:rsid w:val="00DD28DE"/>
    <w:rsid w:val="00DD35B7"/>
    <w:rsid w:val="00DD7732"/>
    <w:rsid w:val="00DF21C5"/>
    <w:rsid w:val="00E0229A"/>
    <w:rsid w:val="00E13CAA"/>
    <w:rsid w:val="00E205A3"/>
    <w:rsid w:val="00E238C0"/>
    <w:rsid w:val="00E27BC7"/>
    <w:rsid w:val="00E32257"/>
    <w:rsid w:val="00E33889"/>
    <w:rsid w:val="00E376C6"/>
    <w:rsid w:val="00E50654"/>
    <w:rsid w:val="00E556AB"/>
    <w:rsid w:val="00E614F6"/>
    <w:rsid w:val="00E84073"/>
    <w:rsid w:val="00E8668F"/>
    <w:rsid w:val="00E95B75"/>
    <w:rsid w:val="00EA648A"/>
    <w:rsid w:val="00EB1CCE"/>
    <w:rsid w:val="00EC1ABC"/>
    <w:rsid w:val="00EC227C"/>
    <w:rsid w:val="00EC5B08"/>
    <w:rsid w:val="00ED133C"/>
    <w:rsid w:val="00EE1944"/>
    <w:rsid w:val="00EE26CF"/>
    <w:rsid w:val="00EE77EB"/>
    <w:rsid w:val="00EF3A46"/>
    <w:rsid w:val="00F232CD"/>
    <w:rsid w:val="00F410C6"/>
    <w:rsid w:val="00F430E2"/>
    <w:rsid w:val="00F43F12"/>
    <w:rsid w:val="00F52801"/>
    <w:rsid w:val="00F529D9"/>
    <w:rsid w:val="00F56A95"/>
    <w:rsid w:val="00F61627"/>
    <w:rsid w:val="00F63DE9"/>
    <w:rsid w:val="00F6410A"/>
    <w:rsid w:val="00F723B1"/>
    <w:rsid w:val="00F74F7E"/>
    <w:rsid w:val="00F84DF8"/>
    <w:rsid w:val="00F950D2"/>
    <w:rsid w:val="00F95A28"/>
    <w:rsid w:val="00F96533"/>
    <w:rsid w:val="00F967A3"/>
    <w:rsid w:val="00FB019E"/>
    <w:rsid w:val="00FB1EFE"/>
    <w:rsid w:val="00FB44E1"/>
    <w:rsid w:val="00FB673B"/>
    <w:rsid w:val="00FC0BC2"/>
    <w:rsid w:val="00FC779E"/>
    <w:rsid w:val="00FD309C"/>
    <w:rsid w:val="00FD5759"/>
    <w:rsid w:val="00FE1523"/>
    <w:rsid w:val="00FE27C1"/>
    <w:rsid w:val="00FE6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1FE2"/>
  <w15:chartTrackingRefBased/>
  <w15:docId w15:val="{61556BA3-252A-48F3-BC80-2AB8CA33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inestypografi">
    <w:name w:val="Stines typografi"/>
    <w:basedOn w:val="Normal"/>
    <w:link w:val="StinestypografiTegn"/>
    <w:qFormat/>
    <w:rsid w:val="00560EB3"/>
    <w:pPr>
      <w:spacing w:line="360" w:lineRule="auto"/>
    </w:pPr>
  </w:style>
  <w:style w:type="character" w:customStyle="1" w:styleId="StinestypografiTegn">
    <w:name w:val="Stines typografi Tegn"/>
    <w:basedOn w:val="Standardskrifttypeiafsnit"/>
    <w:link w:val="Stinestypografi"/>
    <w:rsid w:val="0056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386</Words>
  <Characters>2357</Characters>
  <Application>Microsoft Office Word</Application>
  <DocSecurity>0</DocSecurity>
  <Lines>19</Lines>
  <Paragraphs>5</Paragraphs>
  <ScaleCrop>false</ScaleCrop>
  <Company>Læsø Kommune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Pagel Hansen</dc:creator>
  <cp:keywords/>
  <dc:description/>
  <cp:lastModifiedBy>Stine Pagel Hansen</cp:lastModifiedBy>
  <cp:revision>10</cp:revision>
  <dcterms:created xsi:type="dcterms:W3CDTF">2021-06-08T07:45:00Z</dcterms:created>
  <dcterms:modified xsi:type="dcterms:W3CDTF">2021-06-25T07:01:00Z</dcterms:modified>
</cp:coreProperties>
</file>